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1" w:rsidRPr="00BB0711" w:rsidRDefault="00BB0711" w:rsidP="00BB0711">
      <w:pPr>
        <w:shd w:val="clear" w:color="auto" w:fill="FFFFFF"/>
        <w:spacing w:line="630" w:lineRule="atLeast"/>
        <w:outlineLvl w:val="0"/>
        <w:rPr>
          <w:rFonts w:ascii="Droid Serif" w:eastAsia="Times New Roman" w:hAnsi="Droid Serif" w:cs="Arial"/>
          <w:b/>
          <w:bCs/>
          <w:color w:val="333333"/>
          <w:spacing w:val="-12"/>
          <w:kern w:val="36"/>
          <w:sz w:val="54"/>
          <w:szCs w:val="54"/>
          <w:lang w:eastAsia="es-AR"/>
        </w:rPr>
      </w:pPr>
      <w:r w:rsidRPr="00BB0711">
        <w:rPr>
          <w:rFonts w:ascii="Droid Serif" w:eastAsia="Times New Roman" w:hAnsi="Droid Serif" w:cs="Arial"/>
          <w:b/>
          <w:bCs/>
          <w:color w:val="333333"/>
          <w:spacing w:val="-12"/>
          <w:kern w:val="36"/>
          <w:sz w:val="54"/>
          <w:szCs w:val="54"/>
          <w:lang w:eastAsia="es-AR"/>
        </w:rPr>
        <w:t>Bélgica apagó la ilusión argentina y es finalista de la Copa Davis</w:t>
      </w:r>
    </w:p>
    <w:p w:rsidR="00BB0711" w:rsidRPr="00BB0711" w:rsidRDefault="00BB0711" w:rsidP="00BB0711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lang w:eastAsia="es-AR"/>
        </w:rPr>
      </w:pPr>
      <w:r w:rsidRPr="00BB0711">
        <w:rPr>
          <w:rFonts w:ascii="Arial" w:eastAsia="Times New Roman" w:hAnsi="Arial" w:cs="Arial"/>
          <w:b/>
          <w:bCs/>
          <w:color w:val="3688D1"/>
          <w:lang w:eastAsia="es-AR"/>
        </w:rPr>
        <w:t>Copa Davis</w:t>
      </w:r>
    </w:p>
    <w:p w:rsidR="00BB0711" w:rsidRPr="00BB0711" w:rsidRDefault="00BB0711" w:rsidP="00BB0711">
      <w:pPr>
        <w:shd w:val="clear" w:color="auto" w:fill="FFFFFF"/>
        <w:spacing w:before="150" w:after="150"/>
        <w:rPr>
          <w:rFonts w:ascii="Arial" w:eastAsia="Times New Roman" w:hAnsi="Arial" w:cs="Arial"/>
          <w:color w:val="333333"/>
          <w:lang w:eastAsia="es-AR"/>
        </w:rPr>
      </w:pPr>
      <w:r w:rsidRPr="00BB0711">
        <w:rPr>
          <w:rFonts w:ascii="Arial" w:eastAsia="Times New Roman" w:hAnsi="Arial" w:cs="Arial"/>
          <w:color w:val="333333"/>
          <w:lang w:eastAsia="es-AR"/>
        </w:rPr>
        <w:t xml:space="preserve">Steve </w:t>
      </w:r>
      <w:proofErr w:type="spellStart"/>
      <w:r w:rsidRPr="00BB0711">
        <w:rPr>
          <w:rFonts w:ascii="Arial" w:eastAsia="Times New Roman" w:hAnsi="Arial" w:cs="Arial"/>
          <w:color w:val="333333"/>
          <w:lang w:eastAsia="es-AR"/>
        </w:rPr>
        <w:t>Darcis</w:t>
      </w:r>
      <w:proofErr w:type="spellEnd"/>
      <w:r w:rsidRPr="00BB0711">
        <w:rPr>
          <w:rFonts w:ascii="Arial" w:eastAsia="Times New Roman" w:hAnsi="Arial" w:cs="Arial"/>
          <w:color w:val="333333"/>
          <w:lang w:eastAsia="es-AR"/>
        </w:rPr>
        <w:t xml:space="preserve"> le ganó el quinto punto a Federico </w:t>
      </w:r>
      <w:proofErr w:type="spellStart"/>
      <w:r w:rsidRPr="00BB0711">
        <w:rPr>
          <w:rFonts w:ascii="Arial" w:eastAsia="Times New Roman" w:hAnsi="Arial" w:cs="Arial"/>
          <w:color w:val="333333"/>
          <w:lang w:eastAsia="es-AR"/>
        </w:rPr>
        <w:t>Delbonis</w:t>
      </w:r>
      <w:proofErr w:type="spellEnd"/>
      <w:r w:rsidRPr="00BB0711">
        <w:rPr>
          <w:rFonts w:ascii="Arial" w:eastAsia="Times New Roman" w:hAnsi="Arial" w:cs="Arial"/>
          <w:color w:val="333333"/>
          <w:lang w:eastAsia="es-AR"/>
        </w:rPr>
        <w:t xml:space="preserve"> por 6-4, 2-6, 7-5 y 7-6 y selló el 3-2 definitivo en la serie que se jugó en Bruselas. El otro finalista es Gran Bretaña, que venció como local a Australia.</w:t>
      </w:r>
    </w:p>
    <w:p w:rsidR="00BB0711" w:rsidRPr="00BB0711" w:rsidRDefault="00BB0711" w:rsidP="00BB07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es-AR"/>
        </w:rPr>
      </w:pPr>
      <w:bookmarkStart w:id="0" w:name="compartir"/>
      <w:bookmarkEnd w:id="0"/>
      <w:r>
        <w:rPr>
          <w:rFonts w:ascii="Arial" w:eastAsia="Times New Roman" w:hAnsi="Arial" w:cs="Arial"/>
          <w:noProof/>
          <w:color w:val="000000"/>
          <w:sz w:val="23"/>
          <w:szCs w:val="23"/>
          <w:lang w:eastAsia="es-AR"/>
        </w:rPr>
        <w:drawing>
          <wp:inline distT="0" distB="0" distL="0" distR="0">
            <wp:extent cx="5715000" cy="3219450"/>
            <wp:effectExtent l="19050" t="0" r="0" b="0"/>
            <wp:docPr id="1" name="Imagen 1" descr="Los jugadores belgas festejan un triunfo histórico que los clasifica a su primera final de la Copa Davis. (Juan Manuel Foglia / enviado especi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jugadores belgas festejan un triunfo histórico que los clasifica a su primera final de la Copa Davis. (Juan Manuel Foglia / enviado especia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11" w:rsidRPr="00BB0711" w:rsidRDefault="00BB0711" w:rsidP="00BB0711">
      <w:pPr>
        <w:shd w:val="clear" w:color="auto" w:fill="F8F8F8"/>
        <w:rPr>
          <w:rFonts w:ascii="Arial" w:eastAsia="Times New Roman" w:hAnsi="Arial" w:cs="Arial"/>
          <w:color w:val="888888"/>
          <w:sz w:val="17"/>
          <w:szCs w:val="17"/>
          <w:lang w:eastAsia="es-AR"/>
        </w:rPr>
      </w:pPr>
      <w:r w:rsidRPr="00BB0711">
        <w:rPr>
          <w:rFonts w:ascii="Arial" w:eastAsia="Times New Roman" w:hAnsi="Arial" w:cs="Arial"/>
          <w:color w:val="888888"/>
          <w:sz w:val="17"/>
          <w:szCs w:val="17"/>
          <w:lang w:eastAsia="es-AR"/>
        </w:rPr>
        <w:t xml:space="preserve">Los jugadores belgas festejan un triunfo histórico que los clasifica a su primera final de la Copa Davis. (Juan Manuel </w:t>
      </w:r>
      <w:proofErr w:type="spellStart"/>
      <w:r w:rsidRPr="00BB0711">
        <w:rPr>
          <w:rFonts w:ascii="Arial" w:eastAsia="Times New Roman" w:hAnsi="Arial" w:cs="Arial"/>
          <w:color w:val="888888"/>
          <w:sz w:val="17"/>
          <w:szCs w:val="17"/>
          <w:lang w:eastAsia="es-AR"/>
        </w:rPr>
        <w:t>Foglia</w:t>
      </w:r>
      <w:proofErr w:type="spellEnd"/>
      <w:r w:rsidRPr="00BB0711">
        <w:rPr>
          <w:rFonts w:ascii="Arial" w:eastAsia="Times New Roman" w:hAnsi="Arial" w:cs="Arial"/>
          <w:color w:val="888888"/>
          <w:sz w:val="17"/>
          <w:szCs w:val="17"/>
          <w:lang w:eastAsia="es-AR"/>
        </w:rPr>
        <w:t xml:space="preserve"> / enviado especial)</w:t>
      </w:r>
    </w:p>
    <w:p w:rsidR="00BB0711" w:rsidRPr="00BB0711" w:rsidRDefault="00BB0711" w:rsidP="00BB0711">
      <w:pPr>
        <w:numPr>
          <w:ilvl w:val="0"/>
          <w:numId w:val="1"/>
        </w:numPr>
        <w:shd w:val="clear" w:color="auto" w:fill="FFFFFF"/>
        <w:spacing w:line="225" w:lineRule="atLeast"/>
        <w:ind w:left="0" w:right="150"/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</w:pPr>
      <w:r w:rsidRPr="00BB0711"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  <w:t>TAGS</w:t>
      </w:r>
    </w:p>
    <w:p w:rsidR="00BB0711" w:rsidRPr="00BB0711" w:rsidRDefault="00BB0711" w:rsidP="00BB0711">
      <w:pPr>
        <w:numPr>
          <w:ilvl w:val="0"/>
          <w:numId w:val="1"/>
        </w:numPr>
        <w:shd w:val="clear" w:color="auto" w:fill="FFFFFF"/>
        <w:spacing w:line="225" w:lineRule="atLeast"/>
        <w:ind w:left="0" w:right="150"/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</w:pPr>
      <w:hyperlink r:id="rId6" w:history="1">
        <w:r w:rsidRPr="00BB0711">
          <w:rPr>
            <w:rFonts w:ascii="Arial" w:eastAsia="Times New Roman" w:hAnsi="Arial" w:cs="Arial"/>
            <w:b/>
            <w:bCs/>
            <w:i/>
            <w:iCs/>
            <w:caps/>
            <w:color w:val="434242"/>
            <w:sz w:val="17"/>
            <w:lang w:eastAsia="es-AR"/>
          </w:rPr>
          <w:t>Federico Delbonis</w:t>
        </w:r>
      </w:hyperlink>
      <w:r w:rsidRPr="00BB0711"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  <w:t>,</w:t>
      </w:r>
    </w:p>
    <w:p w:rsidR="00BB0711" w:rsidRPr="00BB0711" w:rsidRDefault="00BB0711" w:rsidP="00BB0711">
      <w:pPr>
        <w:numPr>
          <w:ilvl w:val="0"/>
          <w:numId w:val="1"/>
        </w:numPr>
        <w:shd w:val="clear" w:color="auto" w:fill="FFFFFF"/>
        <w:spacing w:line="225" w:lineRule="atLeast"/>
        <w:ind w:left="0" w:right="150"/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</w:pPr>
      <w:hyperlink r:id="rId7" w:history="1">
        <w:r w:rsidRPr="00BB0711">
          <w:rPr>
            <w:rFonts w:ascii="Arial" w:eastAsia="Times New Roman" w:hAnsi="Arial" w:cs="Arial"/>
            <w:b/>
            <w:bCs/>
            <w:i/>
            <w:iCs/>
            <w:caps/>
            <w:color w:val="434242"/>
            <w:sz w:val="17"/>
            <w:lang w:eastAsia="es-AR"/>
          </w:rPr>
          <w:t>Steve Darcis</w:t>
        </w:r>
      </w:hyperlink>
      <w:r w:rsidRPr="00BB0711"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  <w:t>,</w:t>
      </w:r>
    </w:p>
    <w:p w:rsidR="00BB0711" w:rsidRPr="00BB0711" w:rsidRDefault="00BB0711" w:rsidP="00BB0711">
      <w:pPr>
        <w:numPr>
          <w:ilvl w:val="0"/>
          <w:numId w:val="1"/>
        </w:numPr>
        <w:shd w:val="clear" w:color="auto" w:fill="FFFFFF"/>
        <w:spacing w:line="225" w:lineRule="atLeast"/>
        <w:ind w:left="0" w:right="150"/>
        <w:rPr>
          <w:rFonts w:ascii="Arial" w:eastAsia="Times New Roman" w:hAnsi="Arial" w:cs="Arial"/>
          <w:caps/>
          <w:color w:val="504F4F"/>
          <w:sz w:val="15"/>
          <w:szCs w:val="15"/>
          <w:lang w:eastAsia="es-AR"/>
        </w:rPr>
      </w:pPr>
      <w:hyperlink r:id="rId8" w:history="1">
        <w:r w:rsidRPr="00BB0711">
          <w:rPr>
            <w:rFonts w:ascii="Arial" w:eastAsia="Times New Roman" w:hAnsi="Arial" w:cs="Arial"/>
            <w:b/>
            <w:bCs/>
            <w:i/>
            <w:iCs/>
            <w:caps/>
            <w:color w:val="434242"/>
            <w:sz w:val="17"/>
            <w:lang w:eastAsia="es-AR"/>
          </w:rPr>
          <w:t>Copa Davis</w:t>
        </w:r>
      </w:hyperlink>
    </w:p>
    <w:p w:rsidR="00BB0711" w:rsidRPr="00BB0711" w:rsidRDefault="00BB0711" w:rsidP="00BB0711">
      <w:pPr>
        <w:numPr>
          <w:ilvl w:val="0"/>
          <w:numId w:val="2"/>
        </w:numPr>
        <w:pBdr>
          <w:right w:val="single" w:sz="6" w:space="9" w:color="D4D4D4"/>
        </w:pBdr>
        <w:shd w:val="clear" w:color="auto" w:fill="FFFFFF"/>
        <w:spacing w:before="45"/>
        <w:ind w:left="90"/>
        <w:rPr>
          <w:rFonts w:eastAsia="Times New Roman"/>
          <w:color w:val="706F6F"/>
          <w:sz w:val="23"/>
          <w:szCs w:val="23"/>
          <w:bdr w:val="single" w:sz="6" w:space="0" w:color="D4D4D4" w:frame="1"/>
          <w:lang w:eastAsia="es-AR"/>
        </w:rPr>
      </w:pPr>
      <w:r w:rsidRPr="00BB0711">
        <w:rPr>
          <w:rFonts w:ascii="Arial" w:eastAsia="Times New Roman" w:hAnsi="Arial" w:cs="Arial"/>
          <w:color w:val="706F6F"/>
          <w:sz w:val="23"/>
          <w:szCs w:val="23"/>
          <w:lang w:eastAsia="es-AR"/>
        </w:rPr>
        <w:fldChar w:fldCharType="begin"/>
      </w:r>
      <w:r w:rsidRPr="00BB0711">
        <w:rPr>
          <w:rFonts w:ascii="Arial" w:eastAsia="Times New Roman" w:hAnsi="Arial" w:cs="Arial"/>
          <w:color w:val="706F6F"/>
          <w:sz w:val="23"/>
          <w:szCs w:val="23"/>
          <w:lang w:eastAsia="es-AR"/>
        </w:rPr>
        <w:instrText xml:space="preserve"> HYPERLINK "http://www.clarin.com/deportes/pasaje-final-manos-Delbonis_0_1434456765.html" </w:instrText>
      </w:r>
      <w:r w:rsidRPr="00BB0711">
        <w:rPr>
          <w:rFonts w:ascii="Arial" w:eastAsia="Times New Roman" w:hAnsi="Arial" w:cs="Arial"/>
          <w:color w:val="706F6F"/>
          <w:sz w:val="23"/>
          <w:szCs w:val="23"/>
          <w:lang w:eastAsia="es-AR"/>
        </w:rPr>
        <w:fldChar w:fldCharType="separate"/>
      </w:r>
    </w:p>
    <w:p w:rsidR="00BB0711" w:rsidRPr="00BB0711" w:rsidRDefault="00BB0711" w:rsidP="00BB0711">
      <w:pPr>
        <w:pBdr>
          <w:right w:val="single" w:sz="6" w:space="9" w:color="D4D4D4"/>
        </w:pBdr>
        <w:shd w:val="clear" w:color="auto" w:fill="FFFFFF"/>
        <w:spacing w:before="45"/>
        <w:ind w:left="90"/>
        <w:rPr>
          <w:rFonts w:ascii="Arial" w:eastAsia="Times New Roman" w:hAnsi="Arial" w:cs="Arial"/>
          <w:color w:val="706F6F"/>
          <w:sz w:val="23"/>
          <w:lang w:eastAsia="es-AR"/>
        </w:rPr>
      </w:pPr>
      <w:r w:rsidRPr="00BB0711">
        <w:rPr>
          <w:rFonts w:ascii="Arial" w:eastAsia="Times New Roman" w:hAnsi="Arial" w:cs="Arial"/>
          <w:b/>
          <w:bCs/>
          <w:color w:val="706F6F"/>
          <w:sz w:val="27"/>
          <w:lang w:eastAsia="es-AR"/>
        </w:rPr>
        <w:t>135</w:t>
      </w:r>
    </w:p>
    <w:p w:rsidR="00BB0711" w:rsidRPr="00BB0711" w:rsidRDefault="00BB0711" w:rsidP="00BB0711">
      <w:pPr>
        <w:pBdr>
          <w:right w:val="single" w:sz="6" w:space="9" w:color="D4D4D4"/>
        </w:pBdr>
        <w:shd w:val="clear" w:color="auto" w:fill="FFFFFF"/>
        <w:spacing w:line="300" w:lineRule="atLeast"/>
        <w:ind w:left="90"/>
        <w:rPr>
          <w:rFonts w:eastAsia="Times New Roman"/>
          <w:sz w:val="17"/>
          <w:szCs w:val="17"/>
          <w:lang w:eastAsia="es-AR"/>
        </w:rPr>
      </w:pPr>
      <w:proofErr w:type="spellStart"/>
      <w:proofErr w:type="gramStart"/>
      <w:r w:rsidRPr="00BB0711">
        <w:rPr>
          <w:rFonts w:ascii="Arial" w:eastAsia="Times New Roman" w:hAnsi="Arial" w:cs="Arial"/>
          <w:color w:val="706F6F"/>
          <w:sz w:val="17"/>
          <w:szCs w:val="17"/>
          <w:bdr w:val="single" w:sz="6" w:space="0" w:color="D4D4D4" w:frame="1"/>
          <w:lang w:eastAsia="es-AR"/>
        </w:rPr>
        <w:t>opin</w:t>
      </w:r>
      <w:proofErr w:type="gramEnd"/>
      <w:r w:rsidRPr="00BB0711">
        <w:rPr>
          <w:rFonts w:ascii="Arial" w:eastAsia="Times New Roman" w:hAnsi="Arial" w:cs="Arial"/>
          <w:color w:val="706F6F"/>
          <w:sz w:val="17"/>
          <w:szCs w:val="17"/>
          <w:bdr w:val="single" w:sz="6" w:space="0" w:color="D4D4D4" w:frame="1"/>
          <w:lang w:eastAsia="es-AR"/>
        </w:rPr>
        <w:t>á</w:t>
      </w:r>
      <w:proofErr w:type="spellEnd"/>
    </w:p>
    <w:p w:rsidR="00BB0711" w:rsidRPr="00BB0711" w:rsidRDefault="00BB0711" w:rsidP="00BB0711">
      <w:pPr>
        <w:pBdr>
          <w:right w:val="single" w:sz="6" w:space="9" w:color="D4D4D4"/>
        </w:pBdr>
        <w:shd w:val="clear" w:color="auto" w:fill="FFFFFF"/>
        <w:spacing w:before="45"/>
        <w:ind w:left="90"/>
        <w:rPr>
          <w:rFonts w:ascii="Arial" w:eastAsia="Times New Roman" w:hAnsi="Arial" w:cs="Arial"/>
          <w:color w:val="706F6F"/>
          <w:sz w:val="23"/>
          <w:szCs w:val="23"/>
          <w:lang w:eastAsia="es-AR"/>
        </w:rPr>
      </w:pPr>
      <w:r w:rsidRPr="00BB0711">
        <w:rPr>
          <w:rFonts w:ascii="Arial" w:eastAsia="Times New Roman" w:hAnsi="Arial" w:cs="Arial"/>
          <w:color w:val="706F6F"/>
          <w:sz w:val="23"/>
          <w:szCs w:val="23"/>
          <w:lang w:eastAsia="es-AR"/>
        </w:rPr>
        <w:fldChar w:fldCharType="end"/>
      </w:r>
    </w:p>
    <w:p w:rsidR="00BB0711" w:rsidRPr="00BB0711" w:rsidRDefault="00BB0711" w:rsidP="00BB0711">
      <w:pPr>
        <w:numPr>
          <w:ilvl w:val="0"/>
          <w:numId w:val="2"/>
        </w:numPr>
        <w:shd w:val="clear" w:color="auto" w:fill="FFFFFF"/>
        <w:spacing w:before="45"/>
        <w:ind w:left="90"/>
        <w:rPr>
          <w:rFonts w:ascii="Arial" w:eastAsia="Times New Roman" w:hAnsi="Arial" w:cs="Arial"/>
          <w:color w:val="706F6F"/>
          <w:sz w:val="23"/>
          <w:szCs w:val="23"/>
          <w:lang w:eastAsia="es-AR"/>
        </w:rPr>
      </w:pPr>
      <w:r w:rsidRPr="00BB0711">
        <w:rPr>
          <w:rFonts w:ascii="Arial" w:eastAsia="Times New Roman" w:hAnsi="Arial" w:cs="Arial"/>
          <w:b/>
          <w:bCs/>
          <w:color w:val="706F6F"/>
          <w:sz w:val="27"/>
          <w:lang w:eastAsia="es-AR"/>
        </w:rPr>
        <w:t>181</w:t>
      </w:r>
    </w:p>
    <w:p w:rsidR="00BB0711" w:rsidRPr="00BB0711" w:rsidRDefault="00BB0711" w:rsidP="00BB0711">
      <w:pPr>
        <w:shd w:val="clear" w:color="auto" w:fill="FFFFFF"/>
        <w:spacing w:line="300" w:lineRule="atLeast"/>
        <w:ind w:left="90"/>
        <w:rPr>
          <w:rFonts w:ascii="Arial" w:eastAsia="Times New Roman" w:hAnsi="Arial" w:cs="Arial"/>
          <w:color w:val="706F6F"/>
          <w:sz w:val="17"/>
          <w:szCs w:val="17"/>
          <w:lang w:eastAsia="es-AR"/>
        </w:rPr>
      </w:pPr>
      <w:proofErr w:type="gramStart"/>
      <w:r w:rsidRPr="00BB0711">
        <w:rPr>
          <w:rFonts w:ascii="Arial" w:eastAsia="Times New Roman" w:hAnsi="Arial" w:cs="Arial"/>
          <w:color w:val="706F6F"/>
          <w:sz w:val="17"/>
          <w:szCs w:val="17"/>
          <w:lang w:eastAsia="es-AR"/>
        </w:rPr>
        <w:t>shares</w:t>
      </w:r>
      <w:proofErr w:type="gramEnd"/>
    </w:p>
    <w:tbl>
      <w:tblPr>
        <w:tblW w:w="390" w:type="dxa"/>
        <w:tblCellMar>
          <w:left w:w="0" w:type="dxa"/>
          <w:right w:w="0" w:type="dxa"/>
        </w:tblCellMar>
        <w:tblLook w:val="04A0"/>
      </w:tblPr>
      <w:tblGrid>
        <w:gridCol w:w="203"/>
        <w:gridCol w:w="203"/>
      </w:tblGrid>
      <w:tr w:rsidR="00BB0711" w:rsidRPr="00BB0711" w:rsidTr="00BB0711">
        <w:trPr>
          <w:trHeight w:val="698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1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66"/>
              <w:gridCol w:w="6"/>
            </w:tblGrid>
            <w:tr w:rsidR="00BB0711" w:rsidRPr="00BB0711" w:rsidTr="00BB0711">
              <w:trPr>
                <w:trHeight w:val="144"/>
              </w:trPr>
              <w:tc>
                <w:tcPr>
                  <w:tcW w:w="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  <w:tc>
                <w:tcPr>
                  <w:tcW w:w="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</w:tr>
          </w:tbl>
          <w:p w:rsidR="00BB0711" w:rsidRPr="00BB0711" w:rsidRDefault="00BB0711" w:rsidP="00BB0711">
            <w:pPr>
              <w:spacing w:line="375" w:lineRule="atLeast"/>
              <w:textAlignment w:val="top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A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17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66"/>
              <w:gridCol w:w="6"/>
            </w:tblGrid>
            <w:tr w:rsidR="00BB0711" w:rsidRPr="00BB0711" w:rsidTr="00BB0711">
              <w:trPr>
                <w:trHeight w:val="144"/>
              </w:trPr>
              <w:tc>
                <w:tcPr>
                  <w:tcW w:w="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  <w:tc>
                <w:tcPr>
                  <w:tcW w:w="1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  <w:tc>
                <w:tcPr>
                  <w:tcW w:w="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0711" w:rsidRPr="00BB0711" w:rsidRDefault="00BB0711" w:rsidP="00BB0711">
                  <w:pPr>
                    <w:rPr>
                      <w:rFonts w:ascii="Arial" w:eastAsia="Times New Roman" w:hAnsi="Arial" w:cs="Arial"/>
                      <w:color w:val="4D4D4D"/>
                      <w:sz w:val="15"/>
                      <w:szCs w:val="15"/>
                      <w:lang w:eastAsia="es-AR"/>
                    </w:rPr>
                  </w:pPr>
                </w:p>
              </w:tc>
            </w:tr>
          </w:tbl>
          <w:p w:rsidR="00BB0711" w:rsidRPr="00BB0711" w:rsidRDefault="00BB0711" w:rsidP="00BB0711">
            <w:pPr>
              <w:spacing w:line="375" w:lineRule="atLeast"/>
              <w:textAlignment w:val="top"/>
              <w:rPr>
                <w:rFonts w:ascii="Arial" w:eastAsia="Times New Roman" w:hAnsi="Arial" w:cs="Arial"/>
                <w:color w:val="4D4D4D"/>
                <w:sz w:val="15"/>
                <w:szCs w:val="15"/>
                <w:lang w:eastAsia="es-AR"/>
              </w:rPr>
            </w:pPr>
          </w:p>
        </w:tc>
      </w:tr>
    </w:tbl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No pudo ser para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b/>
          <w:bCs/>
          <w:color w:val="555555"/>
          <w:sz w:val="23"/>
          <w:lang w:eastAsia="es-AR"/>
        </w:rPr>
        <w:t>Argentina</w:t>
      </w: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. Luego de haber llegado al último día con ventaja, perdió los últimos dos singles y vio cómo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b/>
          <w:bCs/>
          <w:color w:val="555555"/>
          <w:sz w:val="23"/>
          <w:lang w:eastAsia="es-AR"/>
        </w:rPr>
        <w:t>Bélgica </w:t>
      </w: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se quedaba con una victoria por 3-2 que los deposita por primera vez en la historia en la final de la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b/>
          <w:bCs/>
          <w:color w:val="555555"/>
          <w:sz w:val="23"/>
          <w:lang w:eastAsia="es-AR"/>
        </w:rPr>
        <w:t>Copa Davis</w:t>
      </w: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.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hyperlink r:id="rId9" w:tgtFrame="_blank" w:history="1"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t xml:space="preserve">Primero fue el </w:t>
        </w:r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lastRenderedPageBreak/>
          <w:t xml:space="preserve">turno de David </w:t>
        </w:r>
        <w:proofErr w:type="spellStart"/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t>Goffin</w:t>
        </w:r>
        <w:proofErr w:type="spellEnd"/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t xml:space="preserve">, quien despachó a Diego </w:t>
        </w:r>
        <w:proofErr w:type="spellStart"/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t>Schwartzman</w:t>
        </w:r>
        <w:proofErr w:type="spellEnd"/>
        <w:r w:rsidRPr="00BB0711">
          <w:rPr>
            <w:rFonts w:ascii="Georgia" w:eastAsia="Times New Roman" w:hAnsi="Georgia" w:cs="Arial"/>
            <w:b/>
            <w:bCs/>
            <w:color w:val="444444"/>
            <w:sz w:val="23"/>
            <w:u w:val="single"/>
            <w:lang w:eastAsia="es-AR"/>
          </w:rPr>
          <w:t xml:space="preserve"> en sets corridos.</w:t>
        </w:r>
      </w:hyperlink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Y a continuación, Steve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se convirtió en el héroe: le ganó un durísimo partido a Federico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por 6-4, 2-6, 7-5 y 7-6 (7-3) y selló el pasaporte de Bélgica, que será local ante Gran Bretaña en la última serie del año.</w:t>
      </w:r>
    </w:p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tuvo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b/>
          <w:bCs/>
          <w:color w:val="555555"/>
          <w:sz w:val="23"/>
          <w:lang w:eastAsia="es-AR"/>
        </w:rPr>
        <w:t>un comienzo impecable</w:t>
      </w:r>
      <w:r w:rsidRPr="00BB0711">
        <w:rPr>
          <w:rFonts w:ascii="Georgia" w:eastAsia="Times New Roman" w:hAnsi="Georgia" w:cs="Arial"/>
          <w:color w:val="555555"/>
          <w:sz w:val="23"/>
          <w:lang w:eastAsia="es-AR"/>
        </w:rPr>
        <w:t> </w:t>
      </w: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en sus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de saque. Metió 8 de 8 primeros servicios (2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aces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) y ganó todos sus puntos en los primeros dos juegos. También ganó los cuatro tantos en el tercero, todos con el segundo saque. Del otro lado de la red,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daba señales similares: muy sólido con su servicio y con pocas respuestas en la devolución. Entonces los primeros minutos fueron de absoluta paridad.</w:t>
      </w:r>
    </w:p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La autoridad absoluta que había mostrado el argentino con su saque tuvo un bache en el séptimo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. Y le costó caro. Una doble falta de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le dio el quiebre a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y una ventaja que el belga mantuvo hasta el final del set, que se llevó por 6-4.</w:t>
      </w:r>
    </w:p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dio vuelta la página y comenzó el segundo con la solidez que había mostrado en el inicio del juego. En el 2-2 salió bien parado de un momento complicado: sacó 15-40, pero los levantó con un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ace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y un segundo saque ganador, y después cerró el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con autoridad. Una autoridad y una actitud que mantuvo en el juego siguiente y que le permitió conseguir el primer </w:t>
      </w:r>
      <w:proofErr w:type="gram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quiebre</w:t>
      </w:r>
      <w:proofErr w:type="gram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del partido para tomar una ventaja de 4-2. Esa ventaja resultó clave para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, que aprovechó </w:t>
      </w:r>
      <w:proofErr w:type="gram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el</w:t>
      </w:r>
      <w:proofErr w:type="gram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envión, mantuvo su saque sin problemas y volvió a romper el servicio de su rival para quedarse con el set por 6-2.</w:t>
      </w:r>
    </w:p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El ruidoso público del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Forest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National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de Bruselas estalló aliviado cuando un saque abierto salvó a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en el primer break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point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del tercer set cuando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estaba 3-2. Idéntica situación se vivió en el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siguiente, pero con el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azuleño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y los hinchas argentinos como protagonistas. Siguieron saque y saque hasta el undécimo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, cuando otro bache de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le dio tres un triple break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point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a Bélgica. Y ahí vino un quiebre clave para dejarle servido el set a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, que no desaprovechó la oportunidad y lo cerró 7-5.</w:t>
      </w:r>
    </w:p>
    <w:p w:rsidR="00BB0711" w:rsidRPr="00BB0711" w:rsidRDefault="00BB0711" w:rsidP="00BB0711">
      <w:pPr>
        <w:shd w:val="clear" w:color="auto" w:fill="FFFFFF"/>
        <w:spacing w:before="90" w:after="210" w:line="330" w:lineRule="atLeast"/>
        <w:rPr>
          <w:rFonts w:ascii="Georgia" w:eastAsia="Times New Roman" w:hAnsi="Georgia" w:cs="Arial"/>
          <w:color w:val="555555"/>
          <w:sz w:val="23"/>
          <w:szCs w:val="23"/>
          <w:lang w:eastAsia="es-AR"/>
        </w:rPr>
      </w:pP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Darcis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tomó el saque del argentino y sacó ventaja de 2-1 en el cuarto set, pero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Delbonis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se recuperó rápidamente y niveló: 2-2. Pero un nuevo quiebre del local en el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game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siguiente parecía ser el golpe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dicisivo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. Con ventaja de 5-4 el belga dispuso de dos match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points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, pero el argentino se repuso y mandó la definición al </w:t>
      </w:r>
      <w:proofErr w:type="spellStart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>tie</w:t>
      </w:r>
      <w:proofErr w:type="spellEnd"/>
      <w:r w:rsidRPr="00BB0711">
        <w:rPr>
          <w:rFonts w:ascii="Georgia" w:eastAsia="Times New Roman" w:hAnsi="Georgia" w:cs="Arial"/>
          <w:color w:val="555555"/>
          <w:sz w:val="23"/>
          <w:szCs w:val="23"/>
          <w:lang w:eastAsia="es-AR"/>
        </w:rPr>
        <w:t xml:space="preserve"> break, donde el local no dudó: se llevó la victoria por 7-3 y le dio a Bélgica el pasaporte a su primera final de la historia, que tendrá ante Gran Bretaña su primera gran oportunidad de ganar la Copa Davis.</w:t>
      </w:r>
    </w:p>
    <w:p w:rsidR="006870D2" w:rsidRDefault="006870D2"/>
    <w:sectPr w:rsidR="006870D2" w:rsidSect="00687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0A"/>
    <w:multiLevelType w:val="multilevel"/>
    <w:tmpl w:val="3DB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1CC7"/>
    <w:multiLevelType w:val="multilevel"/>
    <w:tmpl w:val="8F76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711"/>
    <w:rsid w:val="000E7814"/>
    <w:rsid w:val="002B58E4"/>
    <w:rsid w:val="00682584"/>
    <w:rsid w:val="006870D2"/>
    <w:rsid w:val="00BA5BD7"/>
    <w:rsid w:val="00BB0711"/>
    <w:rsid w:val="00DA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D2"/>
  </w:style>
  <w:style w:type="paragraph" w:styleId="Ttulo1">
    <w:name w:val="heading 1"/>
    <w:basedOn w:val="Normal"/>
    <w:link w:val="Ttulo1Car"/>
    <w:uiPriority w:val="9"/>
    <w:qFormat/>
    <w:rsid w:val="00BB07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0711"/>
    <w:rPr>
      <w:rFonts w:eastAsia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B0711"/>
    <w:pPr>
      <w:spacing w:before="100" w:beforeAutospacing="1" w:after="100" w:afterAutospacing="1"/>
    </w:pPr>
    <w:rPr>
      <w:rFonts w:eastAsia="Times New Roman"/>
      <w:lang w:eastAsia="es-AR"/>
    </w:rPr>
  </w:style>
  <w:style w:type="character" w:styleId="Textoennegrita">
    <w:name w:val="Strong"/>
    <w:basedOn w:val="Fuentedeprrafopredeter"/>
    <w:uiPriority w:val="22"/>
    <w:qFormat/>
    <w:rsid w:val="00BB071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B071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B0711"/>
    <w:rPr>
      <w:i/>
      <w:iCs/>
    </w:rPr>
  </w:style>
  <w:style w:type="character" w:customStyle="1" w:styleId="share-num">
    <w:name w:val="share-num"/>
    <w:basedOn w:val="Fuentedeprrafopredeter"/>
    <w:rsid w:val="00BB0711"/>
  </w:style>
  <w:style w:type="paragraph" w:customStyle="1" w:styleId="first-paragraph">
    <w:name w:val="first-paragraph"/>
    <w:basedOn w:val="Normal"/>
    <w:rsid w:val="00BB0711"/>
    <w:pPr>
      <w:spacing w:before="100" w:beforeAutospacing="1" w:after="100" w:afterAutospacing="1"/>
    </w:pPr>
    <w:rPr>
      <w:rFonts w:eastAsia="Times New Roman"/>
      <w:lang w:eastAsia="es-AR"/>
    </w:rPr>
  </w:style>
  <w:style w:type="character" w:customStyle="1" w:styleId="apple-converted-space">
    <w:name w:val="apple-converted-space"/>
    <w:basedOn w:val="Fuentedeprrafopredeter"/>
    <w:rsid w:val="00BB0711"/>
  </w:style>
  <w:style w:type="paragraph" w:customStyle="1" w:styleId="subtit">
    <w:name w:val="subtit"/>
    <w:basedOn w:val="Normal"/>
    <w:rsid w:val="00BB0711"/>
    <w:pPr>
      <w:spacing w:before="100" w:beforeAutospacing="1" w:after="100" w:afterAutospacing="1"/>
    </w:pPr>
    <w:rPr>
      <w:rFonts w:eastAsia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5386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45">
          <w:marLeft w:val="0"/>
          <w:marRight w:val="0"/>
          <w:marTop w:val="0"/>
          <w:marBottom w:val="0"/>
          <w:divBdr>
            <w:top w:val="single" w:sz="6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274286494">
              <w:marLeft w:val="0"/>
              <w:marRight w:val="9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114">
              <w:marLeft w:val="0"/>
              <w:marRight w:val="9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797">
              <w:marLeft w:val="150"/>
              <w:marRight w:val="15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8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6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7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995">
              <w:marLeft w:val="0"/>
              <w:marRight w:val="0"/>
              <w:marTop w:val="0"/>
              <w:marBottom w:val="225"/>
              <w:divBdr>
                <w:top w:val="dotted" w:sz="6" w:space="4" w:color="706F6F"/>
                <w:left w:val="dotted" w:sz="2" w:space="0" w:color="706F6F"/>
                <w:bottom w:val="dotted" w:sz="6" w:space="0" w:color="706F6F"/>
                <w:right w:val="dotted" w:sz="2" w:space="0" w:color="706F6F"/>
              </w:divBdr>
              <w:divsChild>
                <w:div w:id="9126169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500">
                  <w:marLeft w:val="0"/>
                  <w:marRight w:val="0"/>
                  <w:marTop w:val="15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5144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6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8124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3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1296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0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359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3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4254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n.com/deportes/tema/copa_dav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rin.com/deportes/tema/steve_darc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in.com/deportes/tema/federico_delboni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rin.com/deportes/tenis/Sorpresa-Orsanic-juega-Schwartzman-lograr_0_14344567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2015-09-22T19:52:00Z</dcterms:created>
  <dcterms:modified xsi:type="dcterms:W3CDTF">2015-09-22T19:54:00Z</dcterms:modified>
</cp:coreProperties>
</file>